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</w:pPr>
      <w:r>
        <w:rPr>
          <w:rFonts w:ascii="Arial" w:hAnsi="Arial"/>
          <w:b/>
          <w:color w:val="071D2E"/>
          <w:sz w:val="48"/>
        </w:rPr>
        <w:t>АНКЕТА КЛИЕНТА</w:t>
      </w:r>
    </w:p>
    <w:p>
      <w:pPr>
        <w:spacing w:after="280"/>
      </w:pPr>
      <w:r>
        <w:rPr>
          <w:rFonts w:ascii="Arial" w:hAnsi="Arial"/>
          <w:color w:val="607386"/>
          <w:sz w:val="22"/>
        </w:rPr>
        <w:t>Для подготовки предложения по кормам и дополнительным услугам</w:t>
      </w:r>
    </w:p>
    <w:p>
      <w:pPr>
        <w:pStyle w:val="Heading1"/>
      </w:pPr>
      <w:r>
        <w:t>1. Контакт и задача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2550"/>
        <w:gridCol w:w="6810"/>
      </w:tblGrid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Компания / хозяйство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Страна / регион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Контактное лицо и должность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Телефон / E-mail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Желаемая дата начала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b/>
          <w:color w:val="071D2E"/>
        </w:rPr>
        <w:t>Требуемые услуги</w:t>
      </w:r>
    </w:p>
    <w:p>
      <w:pPr>
        <w:spacing w:after="140"/>
      </w:pPr>
      <w:r>
        <w:t>☐ Поставка корма   ☐ Кормовая программа   ☐ AI-мониторинг   ☐ Аудит   ☐ Обучение   ☐ R&amp;D</w:t>
      </w:r>
    </w:p>
    <w:p>
      <w:pPr>
        <w:pStyle w:val="Heading1"/>
      </w:pPr>
      <w:r>
        <w:t>2. Рыба и хозяйство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2550"/>
        <w:gridCol w:w="6810"/>
      </w:tblGrid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Вид рыбы / порода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Стадия и текущий вес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Целевой вес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Годовой объём, т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Количество площадок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Биомасса текущая / максимальная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b/>
          <w:color w:val="071D2E"/>
        </w:rPr>
        <w:t>Система выращивания</w:t>
      </w:r>
    </w:p>
    <w:p>
      <w:pPr>
        <w:spacing w:after="140"/>
      </w:pPr>
      <w:r>
        <w:t>☐ Садки   ☐ Пруды   ☐ УЗВ / RAS   ☐ Проточная   ☐ Комбинированная</w:t>
      </w:r>
    </w:p>
    <w:p>
      <w:r>
        <w:br w:type="page"/>
      </w:r>
    </w:p>
    <w:p>
      <w:pPr>
        <w:pStyle w:val="Heading1"/>
      </w:pPr>
      <w:r>
        <w:t>3. Вода и кормление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2550"/>
        <w:gridCol w:w="6810"/>
      </w:tblGrid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Температура, °C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Кислород, mg/L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pH / солёность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Датчики / система мониторинга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Текущий корм и гранула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Частота кормления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Текущий FCR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Смертность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4. Данные и сопровождение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2550"/>
        <w:gridCol w:w="6810"/>
      </w:tblGrid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Доступные цифровые данные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Интеграции / формат выгрузки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Получатели уведомлений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Желаемая частота отчётов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b/>
          <w:color w:val="071D2E"/>
        </w:rPr>
        <w:t>Формат сопровождения</w:t>
      </w:r>
    </w:p>
    <w:p>
      <w:pPr>
        <w:spacing w:after="140"/>
      </w:pPr>
      <w:r>
        <w:t>☐ Удалённо   ☐ Выезды   ☐ Гибридный   ☐ Полный сервис</w:t>
      </w:r>
    </w:p>
    <w:p>
      <w:r>
        <w:br w:type="page"/>
      </w:r>
    </w:p>
    <w:p>
      <w:pPr>
        <w:pStyle w:val="Heading1"/>
      </w:pPr>
      <w:r>
        <w:t>5. Коммерческие данные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2550"/>
        <w:gridCol w:w="6810"/>
      </w:tblGrid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Потребление корма, т/год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Сезонный пик, т/месяц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Место и условия поставки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Запас на складе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Условия оплаты / валюта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Дополнительные комментарии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p>
      <w:pPr>
        <w:spacing w:before="240"/>
        <w:jc w:val="center"/>
      </w:pPr>
      <w:r>
        <w:rPr>
          <w:b/>
          <w:color w:val="0B5F9A"/>
        </w:rPr>
        <w:t>Отправьте заполненную анкету: sales@fishmax.org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7386"/>
        <w:sz w:val="16"/>
      </w:rPr>
      <w:t>fishmax.org  ·  info@fishmax.org  ·  sales@fishmax.org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3063240" cy="5626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ishmarket-logo-r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63240" cy="5626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021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B5F9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5F9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